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E" w:rsidRPr="00101E5E" w:rsidRDefault="009C32DE" w:rsidP="009C32DE">
      <w:pPr>
        <w:ind w:right="113"/>
        <w:jc w:val="center"/>
        <w:rPr>
          <w:rFonts w:ascii="Arial" w:hAnsi="Arial" w:cs="Arial"/>
          <w:b/>
        </w:rPr>
      </w:pPr>
      <w:bookmarkStart w:id="0" w:name="_GoBack"/>
      <w:bookmarkEnd w:id="0"/>
      <w:r w:rsidRPr="00101E5E">
        <w:rPr>
          <w:rFonts w:ascii="Arial" w:hAnsi="Arial" w:cs="Arial"/>
          <w:b/>
        </w:rPr>
        <w:t xml:space="preserve">MAPA DE VALORES DE TERRENOS POR ZONAS HOMOGÉNEAS </w:t>
      </w:r>
    </w:p>
    <w:p w:rsidR="009C32DE" w:rsidRPr="00101E5E" w:rsidRDefault="009C32DE" w:rsidP="009C32DE">
      <w:pPr>
        <w:spacing w:line="360" w:lineRule="auto"/>
        <w:ind w:right="113"/>
        <w:rPr>
          <w:rFonts w:ascii="Arial" w:hAnsi="Arial" w:cs="Arial"/>
          <w:b/>
          <w:color w:val="0000FF"/>
        </w:rPr>
      </w:pPr>
    </w:p>
    <w:p w:rsidR="009C32DE" w:rsidRPr="00101E5E" w:rsidRDefault="009C32DE" w:rsidP="009C32DE">
      <w:pPr>
        <w:spacing w:line="360" w:lineRule="auto"/>
        <w:ind w:right="113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La naturaleza jurídica del concepto de Zona Homogénea, está definida por lote y finca tipo o de referencia.  Para definir el valor del metro cuadrado en las Plataformas de Valores de Terrenos por Zonas Homogéneas se considera variables tales como: si es una zona residencial, agrícola, industrial o comercial, además se incluyen características del terreno como el área, la longitud del frente, nivel, regularidad, si hay acera, cordón y caño, si tiene servicios públicos, el tipo de vía que pasa al frente y su ubicación en manzana.  Así en cada zona homogénea se define un lote “tipo” que servirá de guía para asignar el valor a los demás terrenos. </w:t>
      </w:r>
    </w:p>
    <w:p w:rsidR="009C32DE" w:rsidRPr="00101E5E" w:rsidRDefault="009C32DE" w:rsidP="009C32DE">
      <w:pPr>
        <w:ind w:right="113"/>
        <w:rPr>
          <w:rFonts w:ascii="Arial" w:hAnsi="Arial" w:cs="Arial"/>
        </w:rPr>
      </w:pPr>
    </w:p>
    <w:p w:rsidR="009C32DE" w:rsidRPr="00101E5E" w:rsidRDefault="009C32DE" w:rsidP="009C32DE">
      <w:pPr>
        <w:spacing w:line="360" w:lineRule="auto"/>
        <w:ind w:right="113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El Método de Valoración que se establece es el Comparativo o de mercado por Zonas Homogéneas. Es un método práctico, puesto que permite determinar el valor de un bien a partir de otro u otros terrenos ya definidos;  se fundamenta en el concepto de “valor de cambio” y se basa en obtener el valor del precio de un bien inmueble, empleando la información de propiedades comparables (lote tipo) o similares en el entorno. En el caso de los terrenos en cuanto a los factores de corrección o ajuste, determinan la influencia de cada una de las variables en la determinación del valor de un terreno, a partir del valor zonal, estos factores permiten corregir las desviaciones que se apartan de la condición normal, ajustando por medios mayores o menores que la unidad del valor básico zonal. Los valores consisten en fórmulas matemáticas que evalúan en forma exponencial el comportamiento de manera comparativa entre el lote investigado y el lote a valorar. Las variables que conforman la matriz de los planos de zonas homogéneas, originan cada una un factor de comparación.   </w:t>
      </w:r>
    </w:p>
    <w:p w:rsidR="009C32DE" w:rsidRPr="00101E5E" w:rsidRDefault="009C32DE" w:rsidP="009C32DE">
      <w:pPr>
        <w:spacing w:line="360" w:lineRule="auto"/>
        <w:rPr>
          <w:rFonts w:ascii="Arial" w:hAnsi="Arial" w:cs="Arial"/>
        </w:rPr>
      </w:pPr>
    </w:p>
    <w:p w:rsidR="009C32DE" w:rsidRPr="00101E5E" w:rsidRDefault="009C32DE" w:rsidP="009C32DE">
      <w:pPr>
        <w:spacing w:line="360" w:lineRule="auto"/>
        <w:rPr>
          <w:rFonts w:ascii="Arial" w:hAnsi="Arial" w:cs="Arial"/>
        </w:rPr>
      </w:pPr>
    </w:p>
    <w:p w:rsidR="006A44F3" w:rsidRPr="00101E5E" w:rsidRDefault="00D9139D">
      <w:pPr>
        <w:rPr>
          <w:rFonts w:ascii="Arial" w:hAnsi="Arial" w:cs="Arial"/>
        </w:rPr>
      </w:pPr>
    </w:p>
    <w:sectPr w:rsidR="006A44F3" w:rsidRPr="00101E5E" w:rsidSect="008701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9D" w:rsidRDefault="00D9139D" w:rsidP="00482702">
      <w:r>
        <w:separator/>
      </w:r>
    </w:p>
  </w:endnote>
  <w:endnote w:type="continuationSeparator" w:id="1">
    <w:p w:rsidR="00D9139D" w:rsidRDefault="00D9139D" w:rsidP="0048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9D" w:rsidRDefault="00D9139D" w:rsidP="00482702">
      <w:r>
        <w:separator/>
      </w:r>
    </w:p>
  </w:footnote>
  <w:footnote w:type="continuationSeparator" w:id="1">
    <w:p w:rsidR="00D9139D" w:rsidRDefault="00D9139D" w:rsidP="0048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02" w:rsidRPr="006B32D3" w:rsidRDefault="00482702" w:rsidP="00482702">
    <w:pPr>
      <w:pStyle w:val="Encabezado"/>
      <w:jc w:val="center"/>
      <w:rPr>
        <w:rFonts w:ascii="Arial" w:hAnsi="Arial" w:cs="Arial"/>
        <w:b/>
        <w:color w:val="0070C0"/>
        <w:sz w:val="18"/>
      </w:rPr>
    </w:pPr>
    <w:r>
      <w:rPr>
        <w:rFonts w:ascii="Arial" w:hAnsi="Arial" w:cs="Arial"/>
        <w:b/>
        <w:noProof/>
        <w:color w:val="0070C0"/>
        <w:sz w:val="18"/>
        <w:lang w:val="es-CR"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-125730</wp:posOffset>
          </wp:positionV>
          <wp:extent cx="619125" cy="523875"/>
          <wp:effectExtent l="0" t="0" r="0" b="0"/>
          <wp:wrapTight wrapText="bothSides">
            <wp:wrapPolygon edited="0">
              <wp:start x="6646" y="0"/>
              <wp:lineTo x="2658" y="3142"/>
              <wp:lineTo x="665" y="9425"/>
              <wp:lineTo x="1994" y="13353"/>
              <wp:lineTo x="3988" y="18065"/>
              <wp:lineTo x="5982" y="19636"/>
              <wp:lineTo x="14622" y="19636"/>
              <wp:lineTo x="15951" y="18065"/>
              <wp:lineTo x="17945" y="13353"/>
              <wp:lineTo x="19274" y="9425"/>
              <wp:lineTo x="17280" y="3142"/>
              <wp:lineTo x="13292" y="0"/>
              <wp:lineTo x="664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32D3">
      <w:rPr>
        <w:rFonts w:ascii="Arial" w:hAnsi="Arial" w:cs="Arial"/>
        <w:b/>
        <w:color w:val="0070C0"/>
        <w:sz w:val="18"/>
      </w:rPr>
      <w:t>MUNICIPALIDAD DE SAN PABLO DE HEREDIA</w:t>
    </w:r>
  </w:p>
  <w:p w:rsidR="00482702" w:rsidRDefault="00482702" w:rsidP="00482702">
    <w:pPr>
      <w:pStyle w:val="Encabezado"/>
      <w:jc w:val="center"/>
      <w:rPr>
        <w:rFonts w:ascii="Arial" w:hAnsi="Arial" w:cs="Arial"/>
        <w:b/>
        <w:color w:val="0070C0"/>
        <w:sz w:val="18"/>
      </w:rPr>
    </w:pPr>
    <w:r w:rsidRPr="006B32D3">
      <w:rPr>
        <w:rFonts w:ascii="Arial" w:hAnsi="Arial" w:cs="Arial"/>
        <w:b/>
        <w:color w:val="0070C0"/>
        <w:sz w:val="18"/>
      </w:rPr>
      <w:t>SUBPROCESO DE BIENES INMUEBLES</w:t>
    </w:r>
  </w:p>
  <w:p w:rsidR="00482702" w:rsidRPr="006B32D3" w:rsidRDefault="00482702" w:rsidP="00482702">
    <w:pPr>
      <w:pStyle w:val="Encabezado"/>
      <w:jc w:val="center"/>
      <w:rPr>
        <w:rFonts w:ascii="Arial" w:hAnsi="Arial" w:cs="Arial"/>
        <w:b/>
        <w:color w:val="0070C0"/>
        <w:sz w:val="18"/>
      </w:rPr>
    </w:pPr>
    <w:r>
      <w:rPr>
        <w:rFonts w:ascii="Arial" w:hAnsi="Arial" w:cs="Arial"/>
        <w:b/>
        <w:noProof/>
        <w:color w:val="0070C0"/>
        <w:sz w:val="18"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5612130" cy="93345"/>
          <wp:effectExtent l="0" t="0" r="0" b="0"/>
          <wp:wrapSquare wrapText="bothSides"/>
          <wp:docPr id="1" name="Imagen 1" descr="BD1515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6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2702" w:rsidRDefault="004827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32DE"/>
    <w:rsid w:val="00101E5E"/>
    <w:rsid w:val="00141D4E"/>
    <w:rsid w:val="003E4578"/>
    <w:rsid w:val="00482702"/>
    <w:rsid w:val="0054638A"/>
    <w:rsid w:val="00606383"/>
    <w:rsid w:val="007970D2"/>
    <w:rsid w:val="00870152"/>
    <w:rsid w:val="009C32DE"/>
    <w:rsid w:val="00D36C19"/>
    <w:rsid w:val="00D9139D"/>
    <w:rsid w:val="00ED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7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70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27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702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jespinoza</dc:creator>
  <cp:lastModifiedBy>ArtDesigns</cp:lastModifiedBy>
  <cp:revision>2</cp:revision>
  <dcterms:created xsi:type="dcterms:W3CDTF">2015-01-15T18:51:00Z</dcterms:created>
  <dcterms:modified xsi:type="dcterms:W3CDTF">2015-01-15T18:51:00Z</dcterms:modified>
</cp:coreProperties>
</file>