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3D" w:rsidRDefault="00851E3D" w:rsidP="00851E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ACTA COMISIÓN DE ACCESIBILIDAD N° </w:t>
      </w:r>
      <w:r w:rsidR="00376B4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01-20</w:t>
      </w:r>
    </w:p>
    <w:p w:rsidR="00851E3D" w:rsidRDefault="00851E3D" w:rsidP="00851E3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851E3D" w:rsidRDefault="00851E3D" w:rsidP="00851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ACTA DE COMISIÓN DE ACCESIBILIDAD NÚMERO CERO </w:t>
      </w:r>
      <w:r w:rsidR="00376B47">
        <w:rPr>
          <w:rFonts w:ascii="Arial" w:eastAsia="Times New Roman" w:hAnsi="Arial" w:cs="Arial"/>
          <w:sz w:val="24"/>
          <w:szCs w:val="24"/>
          <w:lang w:val="es-ES" w:eastAsia="es-ES"/>
        </w:rPr>
        <w:t>UNO VEINTE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CELEBRADA EL </w:t>
      </w:r>
      <w:r w:rsidR="00376B4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DÍA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QUINCE </w:t>
      </w:r>
      <w:r w:rsidR="00376B47">
        <w:rPr>
          <w:rFonts w:ascii="Arial" w:eastAsia="Times New Roman" w:hAnsi="Arial" w:cs="Arial"/>
          <w:sz w:val="24"/>
          <w:szCs w:val="24"/>
          <w:lang w:val="es-ES" w:eastAsia="es-ES"/>
        </w:rPr>
        <w:t>TREINTA Y UNO DE ENERO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AÑO DOS MIL </w:t>
      </w:r>
      <w:r w:rsidR="00376B47">
        <w:rPr>
          <w:rFonts w:ascii="Arial" w:eastAsia="Times New Roman" w:hAnsi="Arial" w:cs="Arial"/>
          <w:sz w:val="24"/>
          <w:szCs w:val="24"/>
          <w:lang w:val="es-ES" w:eastAsia="es-ES"/>
        </w:rPr>
        <w:t>VEINTE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DANDO INICIO AL SER LAS DIECISEIS HORAS CON </w:t>
      </w:r>
      <w:r w:rsidR="00376B4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CINCUENTA Y UN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MINUTOS CONTANDO CON LA PRESENCIA DE LOS SIGUIENTES:</w:t>
      </w:r>
    </w:p>
    <w:p w:rsidR="00851E3D" w:rsidRDefault="00851E3D" w:rsidP="00851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1E3D" w:rsidRDefault="00851E3D" w:rsidP="00851E3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>Quien preside:</w:t>
      </w:r>
      <w:r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ab/>
      </w:r>
    </w:p>
    <w:p w:rsidR="00851E3D" w:rsidRDefault="00851E3D" w:rsidP="00851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851E3D" w:rsidRDefault="00851E3D" w:rsidP="00851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Sr. José Fernando Méndez </w:t>
      </w:r>
      <w:proofErr w:type="spellStart"/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Vindas</w:t>
      </w:r>
      <w:proofErr w:type="spellEnd"/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, Regidor Propietario</w:t>
      </w:r>
    </w:p>
    <w:p w:rsidR="00851E3D" w:rsidRDefault="00851E3D" w:rsidP="00851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851E3D" w:rsidRDefault="00851E3D" w:rsidP="00851E3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>Miembros de las Comisiones:</w:t>
      </w:r>
    </w:p>
    <w:p w:rsidR="00851E3D" w:rsidRDefault="00851E3D" w:rsidP="00851E3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</w:p>
    <w:p w:rsidR="00851E3D" w:rsidRDefault="00851E3D" w:rsidP="00851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Sr. Julio Benavides Espinoza, Regidor Propietario </w:t>
      </w:r>
    </w:p>
    <w:p w:rsidR="00376B47" w:rsidRDefault="00376B47" w:rsidP="00851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376B47" w:rsidRPr="00376B47" w:rsidRDefault="00376B47" w:rsidP="00851E3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  <w:r w:rsidRPr="00376B47"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>Asesores:</w:t>
      </w:r>
    </w:p>
    <w:p w:rsidR="00376B47" w:rsidRDefault="00376B47" w:rsidP="00851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376B47" w:rsidRDefault="00376B47" w:rsidP="00376B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Sr. David Zúñiga Arce, Alcalde Municipal </w:t>
      </w:r>
      <w:proofErr w:type="spellStart"/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a.i.</w:t>
      </w:r>
      <w:proofErr w:type="spellEnd"/>
    </w:p>
    <w:p w:rsidR="00851E3D" w:rsidRDefault="00851E3D" w:rsidP="00851E3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</w:p>
    <w:p w:rsidR="00851E3D" w:rsidRDefault="00851E3D" w:rsidP="00851E3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 xml:space="preserve">Ausentes: </w:t>
      </w:r>
    </w:p>
    <w:p w:rsidR="00851E3D" w:rsidRDefault="00851E3D" w:rsidP="00851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851E3D" w:rsidRDefault="00851E3D" w:rsidP="00851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Sra. Natalia </w:t>
      </w:r>
      <w:proofErr w:type="spellStart"/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Vindas</w:t>
      </w:r>
      <w:proofErr w:type="spellEnd"/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Pérez, Asesora </w:t>
      </w:r>
    </w:p>
    <w:p w:rsidR="00851E3D" w:rsidRDefault="00851E3D" w:rsidP="00851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Sr. Orlando Barboza Vargas, Asesor </w:t>
      </w:r>
    </w:p>
    <w:p w:rsidR="00851E3D" w:rsidRDefault="00851E3D" w:rsidP="00851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Sr. Omar Sequeira </w:t>
      </w:r>
      <w:proofErr w:type="spellStart"/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Sequeira</w:t>
      </w:r>
      <w:proofErr w:type="spellEnd"/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, Regidor Suplente </w:t>
      </w:r>
    </w:p>
    <w:p w:rsidR="00851E3D" w:rsidRDefault="00851E3D" w:rsidP="00851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851E3D" w:rsidRDefault="00851E3D" w:rsidP="00851E3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>Apoyo secretarial:</w:t>
      </w:r>
    </w:p>
    <w:p w:rsidR="00851E3D" w:rsidRDefault="00851E3D" w:rsidP="00851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851E3D" w:rsidRDefault="00851E3D" w:rsidP="00851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Sra. María José Esquivel Bogantes, Asistente Secretaría del Concejo Municipal </w:t>
      </w:r>
    </w:p>
    <w:p w:rsidR="00851E3D" w:rsidRDefault="00851E3D" w:rsidP="00851E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851E3D" w:rsidRDefault="00851E3D" w:rsidP="00851E3D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Agenda</w:t>
      </w:r>
    </w:p>
    <w:p w:rsidR="00376B47" w:rsidRPr="00B57F38" w:rsidRDefault="00376B47" w:rsidP="00376B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57F38">
        <w:rPr>
          <w:rFonts w:ascii="Arial" w:hAnsi="Arial" w:cs="Arial"/>
          <w:sz w:val="24"/>
          <w:szCs w:val="24"/>
        </w:rPr>
        <w:t>Ratificación del acta N° 03-19 de la reunión celebrada el día 15 de noviembre del 2019.</w:t>
      </w:r>
    </w:p>
    <w:p w:rsidR="00650F15" w:rsidRDefault="00376B47" w:rsidP="00650F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57F38">
        <w:rPr>
          <w:rFonts w:ascii="Arial" w:hAnsi="Arial" w:cs="Arial"/>
          <w:sz w:val="24"/>
          <w:szCs w:val="24"/>
        </w:rPr>
        <w:t>Analizar el expediente N° 19.902 “Ley para la protección y el desarrollo de oportunidades para personas con trastornos del espectro autista”.</w:t>
      </w:r>
      <w:r w:rsidR="00650F15" w:rsidRPr="00650F15">
        <w:rPr>
          <w:rFonts w:ascii="Arial" w:hAnsi="Arial" w:cs="Arial"/>
          <w:sz w:val="24"/>
          <w:szCs w:val="24"/>
        </w:rPr>
        <w:t xml:space="preserve"> </w:t>
      </w:r>
    </w:p>
    <w:p w:rsidR="00650F15" w:rsidRPr="00B57F38" w:rsidRDefault="00650F15" w:rsidP="00650F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57F38">
        <w:rPr>
          <w:rFonts w:ascii="Arial" w:hAnsi="Arial" w:cs="Arial"/>
          <w:sz w:val="24"/>
          <w:szCs w:val="24"/>
        </w:rPr>
        <w:t xml:space="preserve">Analizar el expediente </w:t>
      </w:r>
      <w:r w:rsidRPr="00B57F38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N °20.767 "Ley de reconocimiento y promoción de la lengua de señas costarricense (LESCO).</w:t>
      </w:r>
    </w:p>
    <w:p w:rsidR="00376B47" w:rsidRPr="00650F15" w:rsidRDefault="00650F15" w:rsidP="00650F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57F38">
        <w:rPr>
          <w:rFonts w:ascii="Arial" w:hAnsi="Arial" w:cs="Arial"/>
          <w:sz w:val="24"/>
          <w:szCs w:val="24"/>
        </w:rPr>
        <w:t xml:space="preserve">Analizar el expediente N° </w:t>
      </w:r>
      <w:r w:rsidRPr="00B57F38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20.374 "Creación del programa inclusión social y laboral de personas adultas con discapacidad".</w:t>
      </w:r>
    </w:p>
    <w:p w:rsidR="00376B47" w:rsidRPr="00376B47" w:rsidRDefault="00376B47" w:rsidP="00376B47">
      <w:pPr>
        <w:jc w:val="both"/>
        <w:rPr>
          <w:rFonts w:ascii="Arial" w:hAnsi="Arial" w:cs="Arial"/>
          <w:sz w:val="24"/>
          <w:szCs w:val="24"/>
        </w:rPr>
      </w:pPr>
      <w:r w:rsidRPr="00376B47">
        <w:rPr>
          <w:rFonts w:ascii="Arial" w:hAnsi="Arial" w:cs="Arial"/>
          <w:b/>
          <w:sz w:val="24"/>
          <w:szCs w:val="24"/>
        </w:rPr>
        <w:t xml:space="preserve">Tema primero: </w:t>
      </w:r>
      <w:r w:rsidRPr="00376B47">
        <w:rPr>
          <w:rFonts w:ascii="Arial" w:hAnsi="Arial" w:cs="Arial"/>
          <w:sz w:val="24"/>
          <w:szCs w:val="24"/>
        </w:rPr>
        <w:t>Ratificación del acta N° 03-19 de la reunión celebrada el día 15 de noviembre del 2019.</w:t>
      </w:r>
    </w:p>
    <w:p w:rsidR="00D95969" w:rsidRPr="00C32F55" w:rsidRDefault="00C32F55" w:rsidP="00C32F55">
      <w:pPr>
        <w:jc w:val="both"/>
        <w:rPr>
          <w:rFonts w:ascii="Arial" w:hAnsi="Arial" w:cs="Arial"/>
          <w:sz w:val="24"/>
          <w:szCs w:val="24"/>
        </w:rPr>
      </w:pPr>
      <w:r w:rsidRPr="00C32F55">
        <w:rPr>
          <w:rFonts w:ascii="Arial" w:hAnsi="Arial" w:cs="Arial"/>
          <w:sz w:val="24"/>
          <w:szCs w:val="24"/>
        </w:rPr>
        <w:t xml:space="preserve">Los señores Julio Benavides Espinoza y José Fernando Méndez </w:t>
      </w:r>
      <w:proofErr w:type="spellStart"/>
      <w:r w:rsidRPr="00C32F55">
        <w:rPr>
          <w:rFonts w:ascii="Arial" w:hAnsi="Arial" w:cs="Arial"/>
          <w:sz w:val="24"/>
          <w:szCs w:val="24"/>
        </w:rPr>
        <w:t>Vindas</w:t>
      </w:r>
      <w:proofErr w:type="spellEnd"/>
      <w:r w:rsidRPr="00C32F55">
        <w:rPr>
          <w:rFonts w:ascii="Arial" w:hAnsi="Arial" w:cs="Arial"/>
          <w:sz w:val="24"/>
          <w:szCs w:val="24"/>
        </w:rPr>
        <w:t xml:space="preserve">, proceden a ratificar el acta </w:t>
      </w:r>
      <w:r w:rsidR="0046682A" w:rsidRPr="00C32F55">
        <w:rPr>
          <w:rFonts w:ascii="Arial" w:hAnsi="Arial" w:cs="Arial"/>
          <w:sz w:val="24"/>
          <w:szCs w:val="24"/>
        </w:rPr>
        <w:t>menciona</w:t>
      </w:r>
      <w:r w:rsidR="0046682A">
        <w:rPr>
          <w:rFonts w:ascii="Arial" w:hAnsi="Arial" w:cs="Arial"/>
          <w:sz w:val="24"/>
          <w:szCs w:val="24"/>
        </w:rPr>
        <w:t>da</w:t>
      </w:r>
      <w:r w:rsidRPr="00C32F55">
        <w:rPr>
          <w:rFonts w:ascii="Arial" w:hAnsi="Arial" w:cs="Arial"/>
          <w:sz w:val="24"/>
          <w:szCs w:val="24"/>
        </w:rPr>
        <w:t xml:space="preserve">. </w:t>
      </w:r>
    </w:p>
    <w:p w:rsidR="00650F15" w:rsidRPr="00376B47" w:rsidRDefault="00650F15" w:rsidP="00650F15">
      <w:pPr>
        <w:jc w:val="both"/>
        <w:rPr>
          <w:rFonts w:ascii="Arial" w:hAnsi="Arial" w:cs="Arial"/>
          <w:b/>
          <w:sz w:val="24"/>
          <w:szCs w:val="24"/>
        </w:rPr>
      </w:pPr>
      <w:r w:rsidRPr="00376B47">
        <w:rPr>
          <w:rFonts w:ascii="Arial" w:hAnsi="Arial" w:cs="Arial"/>
          <w:b/>
          <w:sz w:val="24"/>
          <w:szCs w:val="24"/>
        </w:rPr>
        <w:lastRenderedPageBreak/>
        <w:t xml:space="preserve">Tema </w:t>
      </w:r>
      <w:r>
        <w:rPr>
          <w:rFonts w:ascii="Arial" w:hAnsi="Arial" w:cs="Arial"/>
          <w:b/>
          <w:sz w:val="24"/>
          <w:szCs w:val="24"/>
        </w:rPr>
        <w:t>segundo</w:t>
      </w:r>
      <w:r w:rsidRPr="00376B47">
        <w:rPr>
          <w:rFonts w:ascii="Arial" w:hAnsi="Arial" w:cs="Arial"/>
          <w:b/>
          <w:sz w:val="24"/>
          <w:szCs w:val="24"/>
        </w:rPr>
        <w:t xml:space="preserve">: </w:t>
      </w:r>
      <w:r w:rsidRPr="00B57F38">
        <w:rPr>
          <w:rFonts w:ascii="Arial" w:hAnsi="Arial" w:cs="Arial"/>
          <w:sz w:val="24"/>
          <w:szCs w:val="24"/>
        </w:rPr>
        <w:t>Analizar el expediente N° 19.902 “Ley para la protección y el desarrollo de oportunidades para personas con trastornos del espectro autista</w:t>
      </w:r>
      <w:r>
        <w:rPr>
          <w:rFonts w:ascii="Arial" w:hAnsi="Arial" w:cs="Arial"/>
          <w:sz w:val="24"/>
          <w:szCs w:val="24"/>
        </w:rPr>
        <w:t>.</w:t>
      </w:r>
    </w:p>
    <w:p w:rsidR="0046682A" w:rsidRDefault="0046682A" w:rsidP="00376B47">
      <w:pPr>
        <w:jc w:val="both"/>
        <w:rPr>
          <w:rFonts w:ascii="Arial" w:hAnsi="Arial" w:cs="Arial"/>
          <w:b/>
          <w:sz w:val="24"/>
          <w:szCs w:val="24"/>
        </w:rPr>
      </w:pPr>
    </w:p>
    <w:p w:rsidR="0046682A" w:rsidRDefault="0046682A" w:rsidP="004668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R"/>
        </w:rPr>
        <w:drawing>
          <wp:inline distT="0" distB="0" distL="0" distR="0" wp14:anchorId="72F51C81" wp14:editId="4F83EFF3">
            <wp:extent cx="4210050" cy="6905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82A" w:rsidRDefault="0046682A" w:rsidP="004668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R"/>
        </w:rPr>
        <w:lastRenderedPageBreak/>
        <w:drawing>
          <wp:inline distT="0" distB="0" distL="0" distR="0" wp14:anchorId="41BB2F6B" wp14:editId="4F797631">
            <wp:extent cx="4229100" cy="70770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82A" w:rsidRDefault="0046682A" w:rsidP="004668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R"/>
        </w:rPr>
        <w:lastRenderedPageBreak/>
        <w:drawing>
          <wp:inline distT="0" distB="0" distL="0" distR="0" wp14:anchorId="35FCA7E2" wp14:editId="15A174D2">
            <wp:extent cx="4067175" cy="71247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R"/>
        </w:rPr>
        <w:lastRenderedPageBreak/>
        <w:drawing>
          <wp:inline distT="0" distB="0" distL="0" distR="0" wp14:anchorId="369B1FDC" wp14:editId="00E78B52">
            <wp:extent cx="4124325" cy="72104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82A" w:rsidRDefault="0046682A" w:rsidP="004668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R"/>
        </w:rPr>
        <w:lastRenderedPageBreak/>
        <w:drawing>
          <wp:inline distT="0" distB="0" distL="0" distR="0" wp14:anchorId="7AE13330" wp14:editId="1DB43F4C">
            <wp:extent cx="4314825" cy="70199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R"/>
        </w:rPr>
        <w:lastRenderedPageBreak/>
        <w:drawing>
          <wp:inline distT="0" distB="0" distL="0" distR="0" wp14:anchorId="0C842B74" wp14:editId="58DFB86E">
            <wp:extent cx="4105275" cy="72771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R"/>
        </w:rPr>
        <w:lastRenderedPageBreak/>
        <w:drawing>
          <wp:inline distT="0" distB="0" distL="0" distR="0" wp14:anchorId="08AFB1E6" wp14:editId="0FE7597F">
            <wp:extent cx="4314825" cy="41624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5AE" w:rsidRDefault="00021F0D" w:rsidP="00A919F7">
      <w:pPr>
        <w:jc w:val="both"/>
        <w:rPr>
          <w:rFonts w:ascii="Arial" w:hAnsi="Arial" w:cs="Arial"/>
          <w:sz w:val="24"/>
          <w:szCs w:val="24"/>
        </w:rPr>
      </w:pPr>
      <w:r w:rsidRPr="00A919F7">
        <w:rPr>
          <w:rFonts w:ascii="Arial" w:hAnsi="Arial" w:cs="Arial"/>
          <w:sz w:val="24"/>
          <w:szCs w:val="24"/>
        </w:rPr>
        <w:t>Sr. David Zúñiga indica que</w:t>
      </w:r>
      <w:r w:rsidR="00217072">
        <w:rPr>
          <w:rFonts w:ascii="Arial" w:hAnsi="Arial" w:cs="Arial"/>
          <w:sz w:val="24"/>
          <w:szCs w:val="24"/>
        </w:rPr>
        <w:t xml:space="preserve"> la</w:t>
      </w:r>
      <w:r w:rsidRPr="00A919F7">
        <w:rPr>
          <w:rFonts w:ascii="Arial" w:hAnsi="Arial" w:cs="Arial"/>
          <w:sz w:val="24"/>
          <w:szCs w:val="24"/>
        </w:rPr>
        <w:t xml:space="preserve"> </w:t>
      </w:r>
      <w:r w:rsidR="00A919F7">
        <w:rPr>
          <w:rFonts w:ascii="Arial" w:hAnsi="Arial" w:cs="Arial"/>
          <w:sz w:val="24"/>
          <w:szCs w:val="24"/>
        </w:rPr>
        <w:t>L</w:t>
      </w:r>
      <w:r w:rsidR="00217072">
        <w:rPr>
          <w:rFonts w:ascii="Arial" w:hAnsi="Arial" w:cs="Arial"/>
          <w:sz w:val="24"/>
          <w:szCs w:val="24"/>
        </w:rPr>
        <w:t>e</w:t>
      </w:r>
      <w:r w:rsidR="00A919F7">
        <w:rPr>
          <w:rFonts w:ascii="Arial" w:hAnsi="Arial" w:cs="Arial"/>
          <w:sz w:val="24"/>
          <w:szCs w:val="24"/>
        </w:rPr>
        <w:t xml:space="preserve">y de Autonomía Personal indica que </w:t>
      </w:r>
      <w:r w:rsidRPr="00A919F7">
        <w:rPr>
          <w:rFonts w:ascii="Arial" w:hAnsi="Arial" w:cs="Arial"/>
          <w:sz w:val="24"/>
          <w:szCs w:val="24"/>
        </w:rPr>
        <w:t>la institución</w:t>
      </w:r>
      <w:r w:rsidR="00A919F7">
        <w:rPr>
          <w:rFonts w:ascii="Arial" w:hAnsi="Arial" w:cs="Arial"/>
          <w:sz w:val="24"/>
          <w:szCs w:val="24"/>
        </w:rPr>
        <w:t xml:space="preserve"> gubernamental a cargo de c</w:t>
      </w:r>
      <w:r w:rsidR="005E5534">
        <w:rPr>
          <w:rFonts w:ascii="Arial" w:hAnsi="Arial" w:cs="Arial"/>
          <w:sz w:val="24"/>
          <w:szCs w:val="24"/>
        </w:rPr>
        <w:t>apacitar</w:t>
      </w:r>
      <w:r w:rsidR="00A919F7">
        <w:rPr>
          <w:rFonts w:ascii="Arial" w:hAnsi="Arial" w:cs="Arial"/>
          <w:sz w:val="24"/>
          <w:szCs w:val="24"/>
        </w:rPr>
        <w:t xml:space="preserve"> </w:t>
      </w:r>
      <w:r w:rsidR="00217072">
        <w:rPr>
          <w:rFonts w:ascii="Arial" w:hAnsi="Arial" w:cs="Arial"/>
          <w:sz w:val="24"/>
          <w:szCs w:val="24"/>
        </w:rPr>
        <w:t xml:space="preserve">y certificar a </w:t>
      </w:r>
      <w:r w:rsidR="00A919F7">
        <w:rPr>
          <w:rFonts w:ascii="Arial" w:hAnsi="Arial" w:cs="Arial"/>
          <w:sz w:val="24"/>
          <w:szCs w:val="24"/>
        </w:rPr>
        <w:t>los cuidadores de personas con discapacidad es el Instituto Nacional de Aprendizaje (INA) y de hecho así está funcionando</w:t>
      </w:r>
      <w:r w:rsidR="00217072">
        <w:rPr>
          <w:rFonts w:ascii="Arial" w:hAnsi="Arial" w:cs="Arial"/>
          <w:sz w:val="24"/>
          <w:szCs w:val="24"/>
        </w:rPr>
        <w:t xml:space="preserve"> actualmente</w:t>
      </w:r>
      <w:r w:rsidR="00A919F7">
        <w:rPr>
          <w:rFonts w:ascii="Arial" w:hAnsi="Arial" w:cs="Arial"/>
          <w:sz w:val="24"/>
          <w:szCs w:val="24"/>
        </w:rPr>
        <w:t>.</w:t>
      </w:r>
    </w:p>
    <w:p w:rsidR="005575AE" w:rsidRDefault="005575AE" w:rsidP="00A919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Sr. José Fernando Méndez propone que el artículo N° 15, se lea de la siguiente manera: </w:t>
      </w:r>
    </w:p>
    <w:p w:rsidR="005575AE" w:rsidRPr="005905D2" w:rsidRDefault="005575AE" w:rsidP="005575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05D2">
        <w:rPr>
          <w:rFonts w:ascii="Arial" w:hAnsi="Arial" w:cs="Arial"/>
          <w:sz w:val="24"/>
          <w:szCs w:val="24"/>
        </w:rPr>
        <w:t>ARTÍCULO 15.-</w:t>
      </w:r>
      <w:r w:rsidRPr="005905D2">
        <w:rPr>
          <w:rFonts w:ascii="Arial" w:hAnsi="Arial" w:cs="Arial"/>
          <w:sz w:val="24"/>
          <w:szCs w:val="24"/>
        </w:rPr>
        <w:tab/>
        <w:t xml:space="preserve">Capacitación al personal </w:t>
      </w:r>
      <w:r w:rsidRPr="005905D2">
        <w:rPr>
          <w:rFonts w:ascii="Arial" w:hAnsi="Arial" w:cs="Arial"/>
          <w:sz w:val="24"/>
          <w:szCs w:val="24"/>
          <w:u w:val="single"/>
        </w:rPr>
        <w:t>educativo</w:t>
      </w:r>
      <w:r w:rsidRPr="005905D2">
        <w:rPr>
          <w:rFonts w:ascii="Arial" w:hAnsi="Arial" w:cs="Arial"/>
          <w:sz w:val="24"/>
          <w:szCs w:val="24"/>
        </w:rPr>
        <w:t xml:space="preserve"> y personas cuidadoras.</w:t>
      </w:r>
    </w:p>
    <w:p w:rsidR="005575AE" w:rsidRPr="005905D2" w:rsidRDefault="005575AE" w:rsidP="005575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05D2">
        <w:rPr>
          <w:rFonts w:ascii="Arial" w:hAnsi="Arial" w:cs="Arial"/>
          <w:sz w:val="24"/>
          <w:szCs w:val="24"/>
        </w:rPr>
        <w:t xml:space="preserve">El Centro Nacional de Recursos para la Educación Inclusiva (CENAREC) implementará y desarrollará programas de capacitación dirigidos a personal, que faciliten la inclusión educativa de personas con TEA. </w:t>
      </w:r>
    </w:p>
    <w:p w:rsidR="005575AE" w:rsidRDefault="005575AE" w:rsidP="005575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05D2">
        <w:rPr>
          <w:rFonts w:ascii="Arial" w:hAnsi="Arial" w:cs="Arial"/>
          <w:sz w:val="24"/>
          <w:szCs w:val="24"/>
          <w:u w:val="single"/>
        </w:rPr>
        <w:t>El Instituto Nacional de Aprendizaje (INA) implementará y desarrollará programas de capacitación dirigidos a personas cuidadoras, que faciliten la inclusión educativa de personas con TEA</w:t>
      </w:r>
      <w:r w:rsidRPr="005905D2">
        <w:rPr>
          <w:rFonts w:ascii="Arial" w:hAnsi="Arial" w:cs="Arial"/>
          <w:sz w:val="24"/>
          <w:szCs w:val="24"/>
        </w:rPr>
        <w:t>. (Según lo establecido en la Ley N° 9379, Ley para la Promoción de la Autonomía Personal de las Personas con Discapacidad) Lo subrayado no pertenece al original</w:t>
      </w:r>
      <w:r>
        <w:rPr>
          <w:rFonts w:ascii="Arial" w:hAnsi="Arial" w:cs="Arial"/>
          <w:sz w:val="24"/>
          <w:szCs w:val="24"/>
        </w:rPr>
        <w:t>.</w:t>
      </w:r>
    </w:p>
    <w:p w:rsidR="00650F15" w:rsidRDefault="00650F15" w:rsidP="00650F1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50F15">
        <w:rPr>
          <w:rFonts w:ascii="Arial" w:hAnsi="Arial" w:cs="Arial"/>
          <w:sz w:val="24"/>
          <w:szCs w:val="24"/>
        </w:rPr>
        <w:lastRenderedPageBreak/>
        <w:t>Sr. José Fernando Méndez propone recomendarle al Concejo Municipal, declararse parcialmente a favor del expediente N° 19.902.</w:t>
      </w:r>
    </w:p>
    <w:p w:rsidR="00650F15" w:rsidRDefault="00650F15" w:rsidP="00650F15">
      <w:pPr>
        <w:pStyle w:val="Sinespaciado"/>
        <w:jc w:val="both"/>
      </w:pPr>
    </w:p>
    <w:p w:rsidR="00A919F7" w:rsidRPr="00650F15" w:rsidRDefault="00217072" w:rsidP="00A919F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señores Julio Benavides Espinoza y José Fernando Méndez </w:t>
      </w:r>
      <w:proofErr w:type="spellStart"/>
      <w:r>
        <w:rPr>
          <w:rFonts w:ascii="Arial" w:hAnsi="Arial" w:cs="Arial"/>
          <w:sz w:val="24"/>
          <w:szCs w:val="24"/>
        </w:rPr>
        <w:t>Vindas</w:t>
      </w:r>
      <w:proofErr w:type="spellEnd"/>
      <w:r>
        <w:rPr>
          <w:rFonts w:ascii="Arial" w:hAnsi="Arial" w:cs="Arial"/>
          <w:sz w:val="24"/>
          <w:szCs w:val="24"/>
        </w:rPr>
        <w:t xml:space="preserve">, están de acuerdo. </w:t>
      </w:r>
    </w:p>
    <w:p w:rsidR="00376B47" w:rsidRDefault="00376B47" w:rsidP="00376B4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376B47">
        <w:rPr>
          <w:rFonts w:ascii="Arial" w:hAnsi="Arial" w:cs="Arial"/>
          <w:b/>
          <w:sz w:val="24"/>
          <w:szCs w:val="24"/>
        </w:rPr>
        <w:t xml:space="preserve">Tema segundo: </w:t>
      </w:r>
      <w:r w:rsidRPr="00376B47">
        <w:rPr>
          <w:rFonts w:ascii="Arial" w:hAnsi="Arial" w:cs="Arial"/>
          <w:sz w:val="24"/>
          <w:szCs w:val="24"/>
        </w:rPr>
        <w:t xml:space="preserve">Analizar el expediente </w:t>
      </w:r>
      <w:r w:rsidRPr="00376B47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N °20.767 "Ley de reconocimiento y promoción de la lengua de señas costarricense (LESCO).</w:t>
      </w:r>
    </w:p>
    <w:p w:rsidR="00650F15" w:rsidRPr="00650F15" w:rsidRDefault="00650F15" w:rsidP="00376B47">
      <w:pPr>
        <w:jc w:val="both"/>
        <w:rPr>
          <w:rFonts w:ascii="Arial" w:hAnsi="Arial" w:cs="Arial"/>
          <w:sz w:val="24"/>
          <w:szCs w:val="24"/>
        </w:rPr>
      </w:pPr>
      <w:r w:rsidRPr="00650F15">
        <w:rPr>
          <w:rFonts w:ascii="Arial" w:hAnsi="Arial" w:cs="Arial"/>
          <w:sz w:val="24"/>
          <w:szCs w:val="24"/>
        </w:rPr>
        <w:t xml:space="preserve">Se procede con el análisis correspondiente: </w:t>
      </w:r>
    </w:p>
    <w:p w:rsidR="00650F15" w:rsidRDefault="00650F15" w:rsidP="00650F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R"/>
        </w:rPr>
        <w:lastRenderedPageBreak/>
        <w:drawing>
          <wp:inline distT="0" distB="0" distL="0" distR="0" wp14:anchorId="0166F003" wp14:editId="30AEDD41">
            <wp:extent cx="4295775" cy="71437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F15" w:rsidRDefault="00650F15" w:rsidP="00650F15">
      <w:pPr>
        <w:jc w:val="center"/>
        <w:rPr>
          <w:noProof/>
          <w:lang w:eastAsia="es-CR"/>
        </w:rPr>
      </w:pPr>
      <w:r>
        <w:rPr>
          <w:noProof/>
          <w:lang w:eastAsia="es-CR"/>
        </w:rPr>
        <w:lastRenderedPageBreak/>
        <w:drawing>
          <wp:inline distT="0" distB="0" distL="0" distR="0" wp14:anchorId="47B81B5C" wp14:editId="4D2F221A">
            <wp:extent cx="3971925" cy="724852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0F15">
        <w:rPr>
          <w:noProof/>
          <w:lang w:eastAsia="es-CR"/>
        </w:rPr>
        <w:t xml:space="preserve"> </w:t>
      </w:r>
      <w:r>
        <w:rPr>
          <w:noProof/>
          <w:lang w:eastAsia="es-CR"/>
        </w:rPr>
        <w:lastRenderedPageBreak/>
        <w:drawing>
          <wp:inline distT="0" distB="0" distL="0" distR="0" wp14:anchorId="381ECA2A" wp14:editId="6D9895A5">
            <wp:extent cx="4267200" cy="715327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0F15">
        <w:rPr>
          <w:noProof/>
          <w:lang w:eastAsia="es-CR"/>
        </w:rPr>
        <w:t xml:space="preserve"> </w:t>
      </w:r>
      <w:r>
        <w:rPr>
          <w:noProof/>
          <w:lang w:eastAsia="es-CR"/>
        </w:rPr>
        <w:lastRenderedPageBreak/>
        <w:drawing>
          <wp:inline distT="0" distB="0" distL="0" distR="0" wp14:anchorId="44AF9273" wp14:editId="05F7F6C4">
            <wp:extent cx="4352925" cy="721995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F15" w:rsidRDefault="00650F15" w:rsidP="00650F15">
      <w:pPr>
        <w:jc w:val="center"/>
        <w:rPr>
          <w:noProof/>
          <w:lang w:eastAsia="es-CR"/>
        </w:rPr>
      </w:pPr>
      <w:r>
        <w:rPr>
          <w:noProof/>
          <w:lang w:eastAsia="es-CR"/>
        </w:rPr>
        <w:lastRenderedPageBreak/>
        <w:drawing>
          <wp:inline distT="0" distB="0" distL="0" distR="0" wp14:anchorId="0377EF00" wp14:editId="62E9F005">
            <wp:extent cx="4276725" cy="694372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0F15">
        <w:rPr>
          <w:noProof/>
          <w:lang w:eastAsia="es-CR"/>
        </w:rPr>
        <w:t xml:space="preserve"> </w:t>
      </w:r>
      <w:r>
        <w:rPr>
          <w:noProof/>
          <w:lang w:eastAsia="es-CR"/>
        </w:rPr>
        <w:lastRenderedPageBreak/>
        <w:drawing>
          <wp:inline distT="0" distB="0" distL="0" distR="0" wp14:anchorId="0C21842B" wp14:editId="0C1C052B">
            <wp:extent cx="4210050" cy="71818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0F15">
        <w:rPr>
          <w:noProof/>
          <w:lang w:eastAsia="es-CR"/>
        </w:rPr>
        <w:t xml:space="preserve"> </w:t>
      </w:r>
      <w:r>
        <w:rPr>
          <w:noProof/>
          <w:lang w:eastAsia="es-CR"/>
        </w:rPr>
        <w:lastRenderedPageBreak/>
        <w:drawing>
          <wp:inline distT="0" distB="0" distL="0" distR="0" wp14:anchorId="77A20DD7" wp14:editId="0EC05A5D">
            <wp:extent cx="4219575" cy="703897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F15" w:rsidRDefault="00650F15" w:rsidP="00650F15">
      <w:pPr>
        <w:jc w:val="center"/>
        <w:rPr>
          <w:noProof/>
          <w:lang w:eastAsia="es-CR"/>
        </w:rPr>
      </w:pPr>
      <w:r>
        <w:rPr>
          <w:noProof/>
          <w:lang w:eastAsia="es-CR"/>
        </w:rPr>
        <w:lastRenderedPageBreak/>
        <w:drawing>
          <wp:inline distT="0" distB="0" distL="0" distR="0" wp14:anchorId="7C7FD277" wp14:editId="24012527">
            <wp:extent cx="4295775" cy="70770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0F15">
        <w:rPr>
          <w:noProof/>
          <w:lang w:eastAsia="es-CR"/>
        </w:rPr>
        <w:t xml:space="preserve"> </w:t>
      </w:r>
      <w:r>
        <w:rPr>
          <w:noProof/>
          <w:lang w:eastAsia="es-CR"/>
        </w:rPr>
        <w:lastRenderedPageBreak/>
        <w:drawing>
          <wp:inline distT="0" distB="0" distL="0" distR="0" wp14:anchorId="4389459A" wp14:editId="03A65AC3">
            <wp:extent cx="4486275" cy="260985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F15" w:rsidRDefault="00650F15" w:rsidP="00AB2A36">
      <w:pPr>
        <w:jc w:val="both"/>
        <w:rPr>
          <w:rFonts w:ascii="Arial" w:hAnsi="Arial" w:cs="Arial"/>
          <w:noProof/>
          <w:sz w:val="24"/>
          <w:szCs w:val="24"/>
          <w:lang w:eastAsia="es-CR"/>
        </w:rPr>
      </w:pPr>
      <w:r w:rsidRPr="00650F15">
        <w:rPr>
          <w:rFonts w:ascii="Arial" w:hAnsi="Arial" w:cs="Arial"/>
          <w:noProof/>
          <w:sz w:val="24"/>
          <w:szCs w:val="24"/>
          <w:lang w:eastAsia="es-CR"/>
        </w:rPr>
        <w:t xml:space="preserve">Sr. David Zúñiga </w:t>
      </w:r>
      <w:r w:rsidR="00AB2A36">
        <w:rPr>
          <w:rFonts w:ascii="Arial" w:hAnsi="Arial" w:cs="Arial"/>
          <w:noProof/>
          <w:sz w:val="24"/>
          <w:szCs w:val="24"/>
          <w:lang w:eastAsia="es-CR"/>
        </w:rPr>
        <w:t xml:space="preserve">menciona el tema de los interpretes de lesco lo tiene acaparado una pareja que le ofrece servicios profesionales a las instituciones públicas. Por otro lado, aclara que Lesco es un idioma, como por ejemplo una persona que hable ingles no significa que sea un traductor y de esta misma manea funciona con el Lenguaje de Señas. Menciona que el Instituto Nacional de Aprendizaje </w:t>
      </w:r>
      <w:r w:rsidR="001D2498">
        <w:rPr>
          <w:rFonts w:ascii="Arial" w:hAnsi="Arial" w:cs="Arial"/>
          <w:noProof/>
          <w:sz w:val="24"/>
          <w:szCs w:val="24"/>
          <w:lang w:eastAsia="es-CR"/>
        </w:rPr>
        <w:t>es quien certifica a los interpretes de Lesco y a  las instituciones que dan este servicio, por lo tanto considera que existe una contradicción entre el artículo 13 y 26.</w:t>
      </w:r>
    </w:p>
    <w:p w:rsidR="00326CF9" w:rsidRDefault="001D2498" w:rsidP="00AB2A36">
      <w:pPr>
        <w:jc w:val="both"/>
        <w:rPr>
          <w:rFonts w:ascii="Arial" w:hAnsi="Arial" w:cs="Arial"/>
          <w:noProof/>
          <w:sz w:val="24"/>
          <w:szCs w:val="24"/>
          <w:lang w:eastAsia="es-CR"/>
        </w:rPr>
      </w:pPr>
      <w:r>
        <w:rPr>
          <w:rFonts w:ascii="Arial" w:hAnsi="Arial" w:cs="Arial"/>
          <w:noProof/>
          <w:sz w:val="24"/>
          <w:szCs w:val="24"/>
          <w:lang w:eastAsia="es-CR"/>
        </w:rPr>
        <w:t>Sr. José Fernando M</w:t>
      </w:r>
      <w:r w:rsidR="00326CF9">
        <w:rPr>
          <w:rFonts w:ascii="Arial" w:hAnsi="Arial" w:cs="Arial"/>
          <w:noProof/>
          <w:sz w:val="24"/>
          <w:szCs w:val="24"/>
          <w:lang w:eastAsia="es-CR"/>
        </w:rPr>
        <w:t>éndez comenta que</w:t>
      </w:r>
      <w:r>
        <w:rPr>
          <w:rFonts w:ascii="Arial" w:hAnsi="Arial" w:cs="Arial"/>
          <w:noProof/>
          <w:sz w:val="24"/>
          <w:szCs w:val="24"/>
          <w:lang w:eastAsia="es-CR"/>
        </w:rPr>
        <w:t xml:space="preserve"> los </w:t>
      </w:r>
      <w:r w:rsidR="00326CF9">
        <w:rPr>
          <w:rFonts w:ascii="Arial" w:hAnsi="Arial" w:cs="Arial"/>
          <w:noProof/>
          <w:sz w:val="24"/>
          <w:szCs w:val="24"/>
          <w:lang w:eastAsia="es-CR"/>
        </w:rPr>
        <w:t>hospitales</w:t>
      </w:r>
      <w:r>
        <w:rPr>
          <w:rFonts w:ascii="Arial" w:hAnsi="Arial" w:cs="Arial"/>
          <w:noProof/>
          <w:sz w:val="24"/>
          <w:szCs w:val="24"/>
          <w:lang w:eastAsia="es-CR"/>
        </w:rPr>
        <w:t xml:space="preserve"> </w:t>
      </w:r>
      <w:r w:rsidR="00326CF9">
        <w:rPr>
          <w:rFonts w:ascii="Arial" w:hAnsi="Arial" w:cs="Arial"/>
          <w:noProof/>
          <w:sz w:val="24"/>
          <w:szCs w:val="24"/>
          <w:lang w:eastAsia="es-CR"/>
        </w:rPr>
        <w:t>deben contar</w:t>
      </w:r>
      <w:r>
        <w:rPr>
          <w:rFonts w:ascii="Arial" w:hAnsi="Arial" w:cs="Arial"/>
          <w:noProof/>
          <w:sz w:val="24"/>
          <w:szCs w:val="24"/>
          <w:lang w:eastAsia="es-CR"/>
        </w:rPr>
        <w:t xml:space="preserve"> con un </w:t>
      </w:r>
      <w:r w:rsidR="00326CF9">
        <w:rPr>
          <w:rFonts w:ascii="Arial" w:hAnsi="Arial" w:cs="Arial"/>
          <w:noProof/>
          <w:sz w:val="24"/>
          <w:szCs w:val="24"/>
          <w:lang w:eastAsia="es-CR"/>
        </w:rPr>
        <w:t>interprete</w:t>
      </w:r>
      <w:r>
        <w:rPr>
          <w:rFonts w:ascii="Arial" w:hAnsi="Arial" w:cs="Arial"/>
          <w:noProof/>
          <w:sz w:val="24"/>
          <w:szCs w:val="24"/>
          <w:lang w:eastAsia="es-CR"/>
        </w:rPr>
        <w:t xml:space="preserve"> de Lesco las 24 horas.</w:t>
      </w:r>
    </w:p>
    <w:p w:rsidR="00326CF9" w:rsidRDefault="00326CF9" w:rsidP="00AB2A36">
      <w:pPr>
        <w:jc w:val="both"/>
        <w:rPr>
          <w:rFonts w:ascii="Arial" w:hAnsi="Arial" w:cs="Arial"/>
          <w:noProof/>
          <w:sz w:val="24"/>
          <w:szCs w:val="24"/>
          <w:lang w:eastAsia="es-CR"/>
        </w:rPr>
      </w:pPr>
      <w:r>
        <w:rPr>
          <w:rFonts w:ascii="Arial" w:hAnsi="Arial" w:cs="Arial"/>
          <w:noProof/>
          <w:sz w:val="24"/>
          <w:szCs w:val="24"/>
          <w:lang w:eastAsia="es-CR"/>
        </w:rPr>
        <w:t xml:space="preserve">Sr. David Zúñiga indica que </w:t>
      </w:r>
      <w:r w:rsidR="00FE2630">
        <w:rPr>
          <w:rFonts w:ascii="Arial" w:hAnsi="Arial" w:cs="Arial"/>
          <w:noProof/>
          <w:sz w:val="24"/>
          <w:szCs w:val="24"/>
          <w:lang w:eastAsia="es-CR"/>
        </w:rPr>
        <w:t xml:space="preserve">esta </w:t>
      </w:r>
      <w:r>
        <w:rPr>
          <w:rFonts w:ascii="Arial" w:hAnsi="Arial" w:cs="Arial"/>
          <w:noProof/>
          <w:sz w:val="24"/>
          <w:szCs w:val="24"/>
          <w:lang w:eastAsia="es-CR"/>
        </w:rPr>
        <w:t xml:space="preserve">totalmente de acuerdo, </w:t>
      </w:r>
      <w:r w:rsidR="00FE2630">
        <w:rPr>
          <w:rFonts w:ascii="Arial" w:hAnsi="Arial" w:cs="Arial"/>
          <w:noProof/>
          <w:sz w:val="24"/>
          <w:szCs w:val="24"/>
          <w:lang w:eastAsia="es-CR"/>
        </w:rPr>
        <w:t>ya que en algun momento se presento la situación con</w:t>
      </w:r>
      <w:r>
        <w:rPr>
          <w:rFonts w:ascii="Arial" w:hAnsi="Arial" w:cs="Arial"/>
          <w:noProof/>
          <w:sz w:val="24"/>
          <w:szCs w:val="24"/>
          <w:lang w:eastAsia="es-CR"/>
        </w:rPr>
        <w:t xml:space="preserve"> una joven pableña no vidente que</w:t>
      </w:r>
      <w:r w:rsidR="00FE2630">
        <w:rPr>
          <w:rFonts w:ascii="Arial" w:hAnsi="Arial" w:cs="Arial"/>
          <w:noProof/>
          <w:sz w:val="24"/>
          <w:szCs w:val="24"/>
          <w:lang w:eastAsia="es-CR"/>
        </w:rPr>
        <w:t xml:space="preserve"> intento suicidarse, se la llevaron en ambulancia y su mamá no supo a cual hospital se la llevaron hasta unas horas despues,finalmente le</w:t>
      </w:r>
      <w:r w:rsidR="00563245">
        <w:rPr>
          <w:rFonts w:ascii="Arial" w:hAnsi="Arial" w:cs="Arial"/>
          <w:noProof/>
          <w:sz w:val="24"/>
          <w:szCs w:val="24"/>
          <w:lang w:eastAsia="es-CR"/>
        </w:rPr>
        <w:t xml:space="preserve"> dieron la salida y el centro mé</w:t>
      </w:r>
      <w:r w:rsidR="00FE2630">
        <w:rPr>
          <w:rFonts w:ascii="Arial" w:hAnsi="Arial" w:cs="Arial"/>
          <w:noProof/>
          <w:sz w:val="24"/>
          <w:szCs w:val="24"/>
          <w:lang w:eastAsia="es-CR"/>
        </w:rPr>
        <w:t xml:space="preserve">dico no le volvio a dar seguimiento psicologico hasta ahorita que la Municipalidad contrató a una profesional para que le brinde atención. </w:t>
      </w:r>
      <w:r w:rsidR="004007DF">
        <w:rPr>
          <w:rFonts w:ascii="Arial" w:hAnsi="Arial" w:cs="Arial"/>
          <w:noProof/>
          <w:sz w:val="24"/>
          <w:szCs w:val="24"/>
          <w:lang w:eastAsia="es-CR"/>
        </w:rPr>
        <w:t>Aclara que esta persona esta a servicio de la población sorda,por lo tanto no siempre se encontrará en el edificio municipal.</w:t>
      </w:r>
    </w:p>
    <w:p w:rsidR="001D2498" w:rsidRPr="00650F15" w:rsidRDefault="001D2498" w:rsidP="00AB2A3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R"/>
        </w:rPr>
        <w:t>Se</w:t>
      </w:r>
      <w:r w:rsidR="00563245">
        <w:rPr>
          <w:rFonts w:ascii="Arial" w:hAnsi="Arial" w:cs="Arial"/>
          <w:noProof/>
          <w:sz w:val="24"/>
          <w:szCs w:val="24"/>
          <w:lang w:eastAsia="es-CR"/>
        </w:rPr>
        <w:t xml:space="preserve"> propone que los artículos N° 23</w:t>
      </w:r>
      <w:r>
        <w:rPr>
          <w:rFonts w:ascii="Arial" w:hAnsi="Arial" w:cs="Arial"/>
          <w:noProof/>
          <w:sz w:val="24"/>
          <w:szCs w:val="24"/>
          <w:lang w:eastAsia="es-CR"/>
        </w:rPr>
        <w:t>,26 y 27 se lean de la siguiente manera:</w:t>
      </w:r>
    </w:p>
    <w:p w:rsidR="001D2498" w:rsidRPr="001D2498" w:rsidRDefault="001D2498" w:rsidP="001D249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  <w:lang w:eastAsia="es-CR"/>
        </w:rPr>
      </w:pPr>
      <w:r w:rsidRPr="001D2498">
        <w:rPr>
          <w:rFonts w:ascii="Arial" w:eastAsia="Arial" w:hAnsi="Arial" w:cs="Arial"/>
          <w:b/>
          <w:color w:val="000000"/>
          <w:sz w:val="24"/>
          <w:szCs w:val="24"/>
          <w:lang w:eastAsia="es-CR"/>
        </w:rPr>
        <w:t>ARTÍCULO 23- Derecho a la salud</w:t>
      </w:r>
    </w:p>
    <w:p w:rsidR="001D2498" w:rsidRPr="001D2498" w:rsidRDefault="001D2498" w:rsidP="001D2498">
      <w:pP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R"/>
        </w:rPr>
      </w:pPr>
    </w:p>
    <w:p w:rsidR="001D2498" w:rsidRPr="001D2498" w:rsidRDefault="001D2498" w:rsidP="001D2498">
      <w:pP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u w:val="single"/>
          <w:lang w:eastAsia="es-CR"/>
        </w:rPr>
      </w:pPr>
      <w:r w:rsidRPr="001D2498">
        <w:rPr>
          <w:rFonts w:ascii="Arial" w:eastAsia="Arial" w:hAnsi="Arial" w:cs="Arial"/>
          <w:color w:val="000000"/>
          <w:sz w:val="24"/>
          <w:szCs w:val="24"/>
          <w:lang w:eastAsia="es-CR"/>
        </w:rPr>
        <w:t xml:space="preserve">Los centros de salud de la Caja Costarricense de Seguro Social </w:t>
      </w:r>
      <w:r w:rsidRPr="001D2498">
        <w:rPr>
          <w:rFonts w:ascii="Arial" w:eastAsia="Arial" w:hAnsi="Arial" w:cs="Arial"/>
          <w:color w:val="000000"/>
          <w:sz w:val="24"/>
          <w:szCs w:val="24"/>
          <w:u w:val="single"/>
          <w:lang w:eastAsia="es-CR"/>
        </w:rPr>
        <w:t>deberán</w:t>
      </w:r>
      <w:r w:rsidRPr="001D2498">
        <w:rPr>
          <w:rFonts w:ascii="Arial" w:eastAsia="Arial" w:hAnsi="Arial" w:cs="Arial"/>
          <w:color w:val="000000"/>
          <w:sz w:val="24"/>
          <w:szCs w:val="24"/>
          <w:lang w:eastAsia="es-CR"/>
        </w:rPr>
        <w:t xml:space="preserve"> ofrecer el servicio de interpretación en </w:t>
      </w:r>
      <w:proofErr w:type="spellStart"/>
      <w:r w:rsidRPr="001D2498">
        <w:rPr>
          <w:rFonts w:ascii="Arial" w:eastAsia="Arial" w:hAnsi="Arial" w:cs="Arial"/>
          <w:color w:val="000000"/>
          <w:sz w:val="24"/>
          <w:szCs w:val="24"/>
          <w:lang w:eastAsia="es-CR"/>
        </w:rPr>
        <w:t>Lesco</w:t>
      </w:r>
      <w:proofErr w:type="spellEnd"/>
      <w:r w:rsidRPr="001D2498">
        <w:rPr>
          <w:rFonts w:ascii="Arial" w:eastAsia="Arial" w:hAnsi="Arial" w:cs="Arial"/>
          <w:color w:val="000000"/>
          <w:sz w:val="24"/>
          <w:szCs w:val="24"/>
          <w:lang w:eastAsia="es-CR"/>
        </w:rPr>
        <w:t xml:space="preserve"> que permitan garantizar el acceso a la salud en igualdad de oportunidades para las personas sordas, </w:t>
      </w:r>
      <w:r w:rsidRPr="001D2498">
        <w:rPr>
          <w:rFonts w:ascii="Arial" w:eastAsia="Arial" w:hAnsi="Arial" w:cs="Arial"/>
          <w:color w:val="000000"/>
          <w:sz w:val="24"/>
          <w:szCs w:val="24"/>
          <w:u w:val="single"/>
          <w:lang w:eastAsia="es-CR"/>
        </w:rPr>
        <w:t xml:space="preserve">esto en hospitales centrales (tipo 1) y regionales (tipo 2). </w:t>
      </w:r>
    </w:p>
    <w:p w:rsidR="001D2498" w:rsidRDefault="001D2498" w:rsidP="001D2498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1D2498" w:rsidRPr="001D2498" w:rsidRDefault="001D2498" w:rsidP="001D2498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1D2498">
        <w:rPr>
          <w:rFonts w:ascii="Arial" w:hAnsi="Arial" w:cs="Arial"/>
          <w:b/>
          <w:bCs/>
          <w:sz w:val="24"/>
          <w:szCs w:val="24"/>
          <w:lang w:val="es-ES"/>
        </w:rPr>
        <w:t xml:space="preserve">ARTÍCULO </w:t>
      </w:r>
      <w:r w:rsidRPr="001D249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26- Intérpretes de </w:t>
      </w:r>
      <w:proofErr w:type="spellStart"/>
      <w:r w:rsidRPr="001D249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Lesco</w:t>
      </w:r>
      <w:proofErr w:type="spellEnd"/>
      <w:r w:rsidRPr="001D249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ab/>
      </w:r>
    </w:p>
    <w:p w:rsidR="001D2498" w:rsidRPr="001D2498" w:rsidRDefault="001D2498" w:rsidP="001D2498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D2498">
        <w:rPr>
          <w:rFonts w:ascii="Arial" w:hAnsi="Arial" w:cs="Arial"/>
          <w:bCs/>
          <w:sz w:val="24"/>
          <w:szCs w:val="24"/>
          <w:lang w:val="es-ES"/>
        </w:rPr>
        <w:t>Podrán desempeñarse como intérpretes oficiales de la Lengua de Señas Costarricense (</w:t>
      </w:r>
      <w:proofErr w:type="spellStart"/>
      <w:r w:rsidRPr="001D2498">
        <w:rPr>
          <w:rFonts w:ascii="Arial" w:hAnsi="Arial" w:cs="Arial"/>
          <w:bCs/>
          <w:sz w:val="24"/>
          <w:szCs w:val="24"/>
          <w:lang w:val="es-ES"/>
        </w:rPr>
        <w:t>Lesco</w:t>
      </w:r>
      <w:proofErr w:type="spellEnd"/>
      <w:r w:rsidRPr="001D2498">
        <w:rPr>
          <w:rFonts w:ascii="Arial" w:hAnsi="Arial" w:cs="Arial"/>
          <w:bCs/>
          <w:sz w:val="24"/>
          <w:szCs w:val="24"/>
          <w:lang w:val="es-ES"/>
        </w:rPr>
        <w:t xml:space="preserve">), aquellas personas que reciban dicho reconocimiento por </w:t>
      </w:r>
      <w:r w:rsidRPr="001D2498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lastRenderedPageBreak/>
        <w:t>parte</w:t>
      </w:r>
      <w:r w:rsidRPr="001D2498">
        <w:rPr>
          <w:rFonts w:ascii="Arial" w:hAnsi="Arial" w:cs="Arial"/>
          <w:bCs/>
          <w:color w:val="FF0000"/>
          <w:sz w:val="24"/>
          <w:szCs w:val="24"/>
          <w:lang w:val="es-ES"/>
        </w:rPr>
        <w:t xml:space="preserve"> </w:t>
      </w:r>
      <w:r w:rsidRPr="001D2498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del Instituto Nacional de Aprendizaje (INA), </w:t>
      </w:r>
      <w:r w:rsidRPr="001D2498">
        <w:rPr>
          <w:rFonts w:ascii="Arial" w:hAnsi="Arial" w:cs="Arial"/>
          <w:bCs/>
          <w:sz w:val="24"/>
          <w:szCs w:val="24"/>
          <w:lang w:val="es-ES"/>
        </w:rPr>
        <w:t xml:space="preserve">institutos </w:t>
      </w:r>
      <w:r w:rsidRPr="001D2498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públicos y privados, </w:t>
      </w:r>
      <w:r w:rsidRPr="001D2498">
        <w:rPr>
          <w:rFonts w:ascii="Arial" w:hAnsi="Arial" w:cs="Arial"/>
          <w:bCs/>
          <w:sz w:val="24"/>
          <w:szCs w:val="24"/>
          <w:lang w:val="es-ES"/>
        </w:rPr>
        <w:t>universidades públicas y privadas previo cumplimiento de requisitos académicos, debidamente acreditados según corresponda, conocimiento de la cultura sorda, formación ética, de idoneidad y de solvencia lingüística.</w:t>
      </w:r>
    </w:p>
    <w:p w:rsidR="001D2498" w:rsidRPr="001D2498" w:rsidRDefault="001D2498" w:rsidP="001D2498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D2498">
        <w:rPr>
          <w:rFonts w:ascii="Arial" w:hAnsi="Arial" w:cs="Arial"/>
          <w:bCs/>
          <w:sz w:val="24"/>
          <w:szCs w:val="24"/>
          <w:u w:val="single"/>
          <w:lang w:val="es-ES"/>
        </w:rPr>
        <w:t xml:space="preserve">Los gobiernos locales deberán implementar el servicio de intérprete de </w:t>
      </w:r>
      <w:proofErr w:type="spellStart"/>
      <w:r w:rsidR="006621C2">
        <w:rPr>
          <w:rFonts w:ascii="Arial" w:hAnsi="Arial" w:cs="Arial"/>
          <w:bCs/>
          <w:sz w:val="24"/>
          <w:szCs w:val="24"/>
          <w:u w:val="single"/>
          <w:lang w:val="es-ES"/>
        </w:rPr>
        <w:t>L</w:t>
      </w:r>
      <w:r w:rsidRPr="001D2498">
        <w:rPr>
          <w:rFonts w:ascii="Arial" w:hAnsi="Arial" w:cs="Arial"/>
          <w:bCs/>
          <w:sz w:val="24"/>
          <w:szCs w:val="24"/>
          <w:u w:val="single"/>
          <w:lang w:val="es-ES"/>
        </w:rPr>
        <w:t>esco</w:t>
      </w:r>
      <w:proofErr w:type="spellEnd"/>
      <w:r w:rsidRPr="001D2498">
        <w:rPr>
          <w:rFonts w:ascii="Arial" w:hAnsi="Arial" w:cs="Arial"/>
          <w:bCs/>
          <w:sz w:val="24"/>
          <w:szCs w:val="24"/>
          <w:u w:val="single"/>
          <w:lang w:val="es-ES"/>
        </w:rPr>
        <w:t>, siguiendo el modelo de la Municipalidad de San Pablo de Heredia, para ofrecer este servicio a la comunidad sorda, instituciones públicas y privadas del cantón, que así lo requieran</w:t>
      </w:r>
      <w:r w:rsidRPr="001D2498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1D2498" w:rsidRPr="001D2498" w:rsidRDefault="001D2498" w:rsidP="001D249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  <w:lang w:val="es-ES" w:eastAsia="es-CR"/>
        </w:rPr>
      </w:pPr>
      <w:r w:rsidRPr="001D2498">
        <w:rPr>
          <w:rFonts w:ascii="Arial" w:eastAsia="Arial" w:hAnsi="Arial" w:cs="Arial"/>
          <w:b/>
          <w:color w:val="000000"/>
          <w:sz w:val="24"/>
          <w:szCs w:val="24"/>
          <w:lang w:val="es-ES" w:eastAsia="es-CR"/>
        </w:rPr>
        <w:t xml:space="preserve">ARTÍCULO 27-  Derechos y deberes de la persona Intérprete de </w:t>
      </w:r>
      <w:proofErr w:type="spellStart"/>
      <w:r w:rsidRPr="001D2498">
        <w:rPr>
          <w:rFonts w:ascii="Arial" w:eastAsia="Arial" w:hAnsi="Arial" w:cs="Arial"/>
          <w:b/>
          <w:color w:val="000000"/>
          <w:sz w:val="24"/>
          <w:szCs w:val="24"/>
          <w:lang w:val="es-ES" w:eastAsia="es-CR"/>
        </w:rPr>
        <w:t>Lesco</w:t>
      </w:r>
      <w:proofErr w:type="spellEnd"/>
    </w:p>
    <w:p w:rsidR="001D2498" w:rsidRPr="001D2498" w:rsidRDefault="001D2498" w:rsidP="001D2498">
      <w:pP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ES" w:eastAsia="es-CR"/>
        </w:rPr>
      </w:pPr>
    </w:p>
    <w:p w:rsidR="001D2498" w:rsidRPr="001D2498" w:rsidRDefault="001D2498" w:rsidP="001D2498">
      <w:pP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R"/>
        </w:rPr>
      </w:pPr>
      <w:r w:rsidRPr="001D2498">
        <w:rPr>
          <w:rFonts w:ascii="Arial" w:eastAsia="Arial" w:hAnsi="Arial" w:cs="Arial"/>
          <w:color w:val="000000"/>
          <w:sz w:val="24"/>
          <w:szCs w:val="24"/>
          <w:lang w:eastAsia="es-CR"/>
        </w:rPr>
        <w:t>El servicio de interpretación en Lengua de Señas Costarricense (</w:t>
      </w:r>
      <w:proofErr w:type="spellStart"/>
      <w:r w:rsidRPr="001D2498">
        <w:rPr>
          <w:rFonts w:ascii="Arial" w:eastAsia="Arial" w:hAnsi="Arial" w:cs="Arial"/>
          <w:color w:val="000000"/>
          <w:sz w:val="24"/>
          <w:szCs w:val="24"/>
          <w:lang w:eastAsia="es-CR"/>
        </w:rPr>
        <w:t>Lesco</w:t>
      </w:r>
      <w:proofErr w:type="spellEnd"/>
      <w:r w:rsidRPr="001D2498">
        <w:rPr>
          <w:rFonts w:ascii="Arial" w:eastAsia="Arial" w:hAnsi="Arial" w:cs="Arial"/>
          <w:color w:val="000000"/>
          <w:sz w:val="24"/>
          <w:szCs w:val="24"/>
          <w:lang w:eastAsia="es-CR"/>
        </w:rPr>
        <w:t xml:space="preserve">) deberá ser reconocido como un trabajo y las personas intérpretes de </w:t>
      </w:r>
      <w:proofErr w:type="spellStart"/>
      <w:r w:rsidRPr="001D2498">
        <w:rPr>
          <w:rFonts w:ascii="Arial" w:eastAsia="Arial" w:hAnsi="Arial" w:cs="Arial"/>
          <w:color w:val="000000"/>
          <w:sz w:val="24"/>
          <w:szCs w:val="24"/>
          <w:lang w:eastAsia="es-CR"/>
        </w:rPr>
        <w:t>Lesco</w:t>
      </w:r>
      <w:proofErr w:type="spellEnd"/>
      <w:r w:rsidRPr="001D2498">
        <w:rPr>
          <w:rFonts w:ascii="Arial" w:eastAsia="Arial" w:hAnsi="Arial" w:cs="Arial"/>
          <w:color w:val="000000"/>
          <w:sz w:val="24"/>
          <w:szCs w:val="24"/>
          <w:lang w:eastAsia="es-CR"/>
        </w:rPr>
        <w:t xml:space="preserve"> como trabajadoras, de forma que gozarán de todos los derechos y deberes establecidos en el ordenamiento jurídico.</w:t>
      </w:r>
    </w:p>
    <w:p w:rsidR="001D2498" w:rsidRPr="001D2498" w:rsidRDefault="001D2498" w:rsidP="001D2498">
      <w:pP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R"/>
        </w:rPr>
      </w:pPr>
    </w:p>
    <w:p w:rsidR="001D2498" w:rsidRPr="001D2498" w:rsidRDefault="001D2498" w:rsidP="001D2498">
      <w:pP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u w:val="single"/>
          <w:lang w:eastAsia="es-CR"/>
        </w:rPr>
      </w:pPr>
      <w:r w:rsidRPr="001D2498">
        <w:rPr>
          <w:rFonts w:ascii="Arial" w:eastAsia="Arial" w:hAnsi="Arial" w:cs="Arial"/>
          <w:color w:val="000000"/>
          <w:sz w:val="24"/>
          <w:szCs w:val="24"/>
          <w:u w:val="single"/>
          <w:lang w:eastAsia="es-CR"/>
        </w:rPr>
        <w:t xml:space="preserve">Los intérpretes de </w:t>
      </w:r>
      <w:proofErr w:type="spellStart"/>
      <w:r w:rsidRPr="001D2498">
        <w:rPr>
          <w:rFonts w:ascii="Arial" w:eastAsia="Arial" w:hAnsi="Arial" w:cs="Arial"/>
          <w:color w:val="000000"/>
          <w:sz w:val="24"/>
          <w:szCs w:val="24"/>
          <w:u w:val="single"/>
          <w:lang w:eastAsia="es-CR"/>
        </w:rPr>
        <w:t>Lesco</w:t>
      </w:r>
      <w:proofErr w:type="spellEnd"/>
      <w:r w:rsidRPr="001D2498">
        <w:rPr>
          <w:rFonts w:ascii="Arial" w:eastAsia="Arial" w:hAnsi="Arial" w:cs="Arial"/>
          <w:color w:val="000000"/>
          <w:sz w:val="24"/>
          <w:szCs w:val="24"/>
          <w:u w:val="single"/>
          <w:lang w:eastAsia="es-CR"/>
        </w:rPr>
        <w:t xml:space="preserve"> en instituciones públicas deberán ser reconocidos por el Servicio Civil.</w:t>
      </w:r>
    </w:p>
    <w:p w:rsidR="00650F15" w:rsidRDefault="00650F15" w:rsidP="00376B47">
      <w:pPr>
        <w:jc w:val="both"/>
        <w:rPr>
          <w:rFonts w:ascii="Arial" w:hAnsi="Arial" w:cs="Arial"/>
          <w:b/>
          <w:sz w:val="24"/>
          <w:szCs w:val="24"/>
        </w:rPr>
      </w:pPr>
    </w:p>
    <w:p w:rsidR="0068499D" w:rsidRPr="0068499D" w:rsidRDefault="0068499D" w:rsidP="00376B47">
      <w:pPr>
        <w:jc w:val="both"/>
        <w:rPr>
          <w:rFonts w:ascii="Arial" w:hAnsi="Arial" w:cs="Arial"/>
          <w:sz w:val="24"/>
          <w:szCs w:val="24"/>
        </w:rPr>
      </w:pPr>
      <w:r w:rsidRPr="0068499D">
        <w:rPr>
          <w:rFonts w:ascii="Arial" w:hAnsi="Arial" w:cs="Arial"/>
          <w:sz w:val="24"/>
          <w:szCs w:val="24"/>
        </w:rPr>
        <w:t>Sr. David Zúñiga propone que se agregue un artículo N° 38 en el capítulo VII, Disposiciones Finales.</w:t>
      </w:r>
    </w:p>
    <w:p w:rsidR="0068499D" w:rsidRPr="0068499D" w:rsidRDefault="0068499D" w:rsidP="00376B47">
      <w:pPr>
        <w:jc w:val="both"/>
        <w:rPr>
          <w:rFonts w:ascii="Arial" w:hAnsi="Arial" w:cs="Arial"/>
          <w:sz w:val="24"/>
          <w:szCs w:val="24"/>
          <w:u w:val="single"/>
        </w:rPr>
      </w:pPr>
      <w:r w:rsidRPr="0068499D">
        <w:rPr>
          <w:rFonts w:ascii="Arial" w:hAnsi="Arial" w:cs="Arial"/>
          <w:b/>
          <w:sz w:val="24"/>
          <w:szCs w:val="24"/>
        </w:rPr>
        <w:t xml:space="preserve">ARTÍCULO 38- </w:t>
      </w:r>
      <w:r w:rsidRPr="0068499D">
        <w:rPr>
          <w:rFonts w:ascii="Arial" w:hAnsi="Arial" w:cs="Arial"/>
          <w:sz w:val="24"/>
          <w:szCs w:val="24"/>
          <w:u w:val="single"/>
        </w:rPr>
        <w:t xml:space="preserve">Los recursos para la contratación de intérpretes de </w:t>
      </w:r>
      <w:proofErr w:type="spellStart"/>
      <w:r w:rsidRPr="0068499D">
        <w:rPr>
          <w:rFonts w:ascii="Arial" w:hAnsi="Arial" w:cs="Arial"/>
          <w:sz w:val="24"/>
          <w:szCs w:val="24"/>
          <w:u w:val="single"/>
        </w:rPr>
        <w:t>Lesco</w:t>
      </w:r>
      <w:proofErr w:type="spellEnd"/>
      <w:r w:rsidRPr="0068499D">
        <w:rPr>
          <w:rFonts w:ascii="Arial" w:hAnsi="Arial" w:cs="Arial"/>
          <w:sz w:val="24"/>
          <w:szCs w:val="24"/>
          <w:u w:val="single"/>
        </w:rPr>
        <w:t xml:space="preserve"> de los gobiernos locales deberán ser descontados de los fondos que estas mismas transfirieren al Consejo de Rehabilitación y Educación Especial (CONAPDIS).</w:t>
      </w:r>
    </w:p>
    <w:p w:rsidR="00326CF9" w:rsidRPr="00326CF9" w:rsidRDefault="00326CF9" w:rsidP="00376B47">
      <w:pPr>
        <w:jc w:val="both"/>
        <w:rPr>
          <w:rFonts w:ascii="Arial" w:hAnsi="Arial" w:cs="Arial"/>
          <w:sz w:val="24"/>
          <w:szCs w:val="24"/>
        </w:rPr>
      </w:pPr>
      <w:r w:rsidRPr="00326CF9">
        <w:rPr>
          <w:rFonts w:ascii="Arial" w:hAnsi="Arial" w:cs="Arial"/>
          <w:sz w:val="24"/>
          <w:szCs w:val="24"/>
        </w:rPr>
        <w:t>Sr. José Fernando Méndez propone recomendarle al Concejo Municipal, declar</w:t>
      </w:r>
      <w:r>
        <w:rPr>
          <w:rFonts w:ascii="Arial" w:hAnsi="Arial" w:cs="Arial"/>
          <w:sz w:val="24"/>
          <w:szCs w:val="24"/>
        </w:rPr>
        <w:t>ars</w:t>
      </w:r>
      <w:r w:rsidRPr="00326CF9">
        <w:rPr>
          <w:rFonts w:ascii="Arial" w:hAnsi="Arial" w:cs="Arial"/>
          <w:sz w:val="24"/>
          <w:szCs w:val="24"/>
        </w:rPr>
        <w:t>e parcialmente a favor del expediente N° 20.767.</w:t>
      </w:r>
    </w:p>
    <w:p w:rsidR="001D2498" w:rsidRPr="006621C2" w:rsidRDefault="00326CF9" w:rsidP="00376B4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señores Julio Benavides Espinoza y José Fernando Méndez </w:t>
      </w:r>
      <w:proofErr w:type="spellStart"/>
      <w:r>
        <w:rPr>
          <w:rFonts w:ascii="Arial" w:hAnsi="Arial" w:cs="Arial"/>
          <w:sz w:val="24"/>
          <w:szCs w:val="24"/>
        </w:rPr>
        <w:t>Vindas</w:t>
      </w:r>
      <w:proofErr w:type="spellEnd"/>
      <w:r>
        <w:rPr>
          <w:rFonts w:ascii="Arial" w:hAnsi="Arial" w:cs="Arial"/>
          <w:sz w:val="24"/>
          <w:szCs w:val="24"/>
        </w:rPr>
        <w:t xml:space="preserve">, están de acuerdo. </w:t>
      </w:r>
    </w:p>
    <w:p w:rsidR="00376B47" w:rsidRPr="00376B47" w:rsidRDefault="00376B47" w:rsidP="00376B47">
      <w:pPr>
        <w:jc w:val="both"/>
        <w:rPr>
          <w:rFonts w:ascii="Arial" w:hAnsi="Arial" w:cs="Arial"/>
          <w:sz w:val="24"/>
          <w:szCs w:val="24"/>
        </w:rPr>
      </w:pPr>
      <w:r w:rsidRPr="00376B47">
        <w:rPr>
          <w:rFonts w:ascii="Arial" w:hAnsi="Arial" w:cs="Arial"/>
          <w:b/>
          <w:sz w:val="24"/>
          <w:szCs w:val="24"/>
        </w:rPr>
        <w:t xml:space="preserve">Tema tercero: </w:t>
      </w:r>
      <w:r w:rsidRPr="00376B47">
        <w:rPr>
          <w:rFonts w:ascii="Arial" w:hAnsi="Arial" w:cs="Arial"/>
          <w:sz w:val="24"/>
          <w:szCs w:val="24"/>
        </w:rPr>
        <w:t xml:space="preserve">Analizar el expediente N° </w:t>
      </w:r>
      <w:r w:rsidRPr="00376B47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20.374 "Creación del programa inclusión social y laboral de personas adultas con discapacidad".</w:t>
      </w:r>
    </w:p>
    <w:p w:rsidR="006621C2" w:rsidRDefault="006621C2">
      <w:pPr>
        <w:rPr>
          <w:rFonts w:ascii="Arial" w:hAnsi="Arial" w:cs="Arial"/>
          <w:b/>
          <w:sz w:val="24"/>
          <w:szCs w:val="24"/>
        </w:rPr>
      </w:pPr>
      <w:r w:rsidRPr="006621C2">
        <w:rPr>
          <w:rFonts w:ascii="Arial" w:hAnsi="Arial" w:cs="Arial"/>
          <w:sz w:val="24"/>
          <w:szCs w:val="24"/>
        </w:rPr>
        <w:t>Este tema queda pendiente la próxima reunión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6621C2" w:rsidRPr="00385D9E" w:rsidRDefault="006621C2" w:rsidP="006621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SER LAS DIECI</w:t>
      </w:r>
      <w:r>
        <w:rPr>
          <w:rFonts w:ascii="Arial" w:hAnsi="Arial" w:cs="Arial"/>
          <w:sz w:val="24"/>
          <w:szCs w:val="24"/>
        </w:rPr>
        <w:t>SIETE</w:t>
      </w:r>
      <w:r w:rsidRPr="00385D9E">
        <w:rPr>
          <w:rFonts w:ascii="Arial" w:hAnsi="Arial" w:cs="Arial"/>
          <w:sz w:val="24"/>
          <w:szCs w:val="24"/>
        </w:rPr>
        <w:t xml:space="preserve"> HORAS CON </w:t>
      </w:r>
      <w:r>
        <w:rPr>
          <w:rFonts w:ascii="Arial" w:hAnsi="Arial" w:cs="Arial"/>
          <w:sz w:val="24"/>
          <w:szCs w:val="24"/>
        </w:rPr>
        <w:t>C</w:t>
      </w:r>
      <w:r w:rsidR="00973F66">
        <w:rPr>
          <w:rFonts w:ascii="Arial" w:hAnsi="Arial" w:cs="Arial"/>
          <w:sz w:val="24"/>
          <w:szCs w:val="24"/>
        </w:rPr>
        <w:t>INCUENTA Y OCHO</w:t>
      </w:r>
      <w:r>
        <w:rPr>
          <w:rFonts w:ascii="Arial" w:hAnsi="Arial" w:cs="Arial"/>
          <w:sz w:val="24"/>
          <w:szCs w:val="24"/>
        </w:rPr>
        <w:t xml:space="preserve"> </w:t>
      </w:r>
      <w:r w:rsidRPr="00385D9E">
        <w:rPr>
          <w:rFonts w:ascii="Arial" w:hAnsi="Arial" w:cs="Arial"/>
          <w:sz w:val="24"/>
          <w:szCs w:val="24"/>
        </w:rPr>
        <w:t xml:space="preserve">MINUTOS DEL DÍA </w:t>
      </w:r>
      <w:r w:rsidR="00973F66">
        <w:rPr>
          <w:rFonts w:ascii="Arial" w:hAnsi="Arial" w:cs="Arial"/>
          <w:sz w:val="24"/>
          <w:szCs w:val="24"/>
        </w:rPr>
        <w:t>TREINTA Y UNO DE ENERO</w:t>
      </w:r>
      <w:r>
        <w:rPr>
          <w:rFonts w:ascii="Arial" w:hAnsi="Arial" w:cs="Arial"/>
          <w:sz w:val="24"/>
          <w:szCs w:val="24"/>
        </w:rPr>
        <w:t xml:space="preserve"> DEL AÑO DOS MIL </w:t>
      </w:r>
      <w:r w:rsidR="00973F66">
        <w:rPr>
          <w:rFonts w:ascii="Arial" w:hAnsi="Arial" w:cs="Arial"/>
          <w:sz w:val="24"/>
          <w:szCs w:val="24"/>
        </w:rPr>
        <w:t>VEINTE</w:t>
      </w:r>
      <w:r w:rsidRPr="00385D9E">
        <w:rPr>
          <w:rFonts w:ascii="Arial" w:hAnsi="Arial" w:cs="Arial"/>
          <w:sz w:val="24"/>
          <w:szCs w:val="24"/>
        </w:rPr>
        <w:t xml:space="preserve"> SE DA POR FINALIZADA LA SESIÓN DE LA COMISION DE ACCESIBILIDAD NÚMERO CERO </w:t>
      </w:r>
      <w:r w:rsidR="00973F66">
        <w:rPr>
          <w:rFonts w:ascii="Arial" w:hAnsi="Arial" w:cs="Arial"/>
          <w:sz w:val="24"/>
          <w:szCs w:val="24"/>
        </w:rPr>
        <w:t>DOS VEINTE</w:t>
      </w:r>
      <w:bookmarkStart w:id="0" w:name="_GoBack"/>
      <w:bookmarkEnd w:id="0"/>
      <w:r w:rsidRPr="00385D9E">
        <w:rPr>
          <w:rFonts w:ascii="Arial" w:hAnsi="Arial" w:cs="Arial"/>
          <w:sz w:val="24"/>
          <w:szCs w:val="24"/>
        </w:rPr>
        <w:t>.</w:t>
      </w:r>
    </w:p>
    <w:p w:rsidR="006621C2" w:rsidRPr="00385D9E" w:rsidRDefault="006621C2" w:rsidP="006621C2">
      <w:pPr>
        <w:jc w:val="both"/>
        <w:rPr>
          <w:rFonts w:ascii="Arial" w:hAnsi="Arial" w:cs="Arial"/>
          <w:sz w:val="24"/>
          <w:szCs w:val="24"/>
        </w:rPr>
      </w:pPr>
    </w:p>
    <w:p w:rsidR="006621C2" w:rsidRDefault="006621C2" w:rsidP="006621C2">
      <w:pPr>
        <w:rPr>
          <w:rFonts w:ascii="Arial" w:hAnsi="Arial" w:cs="Arial"/>
          <w:sz w:val="24"/>
          <w:szCs w:val="24"/>
        </w:rPr>
      </w:pPr>
      <w:r w:rsidRPr="00385D9E">
        <w:rPr>
          <w:rFonts w:ascii="Arial" w:hAnsi="Arial" w:cs="Arial"/>
          <w:sz w:val="24"/>
          <w:szCs w:val="24"/>
        </w:rPr>
        <w:t xml:space="preserve">Sr. José Fernando Méndez </w:t>
      </w:r>
      <w:proofErr w:type="spellStart"/>
      <w:r w:rsidRPr="00385D9E">
        <w:rPr>
          <w:rFonts w:ascii="Arial" w:hAnsi="Arial" w:cs="Arial"/>
          <w:sz w:val="24"/>
          <w:szCs w:val="24"/>
        </w:rPr>
        <w:t>Vindas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</w:t>
      </w:r>
      <w:r w:rsidRPr="00385D9E">
        <w:rPr>
          <w:rFonts w:ascii="Arial" w:hAnsi="Arial" w:cs="Arial"/>
          <w:sz w:val="24"/>
          <w:szCs w:val="24"/>
        </w:rPr>
        <w:t>Sra. Marí</w:t>
      </w:r>
      <w:r>
        <w:rPr>
          <w:rFonts w:ascii="Arial" w:hAnsi="Arial" w:cs="Arial"/>
          <w:sz w:val="24"/>
          <w:szCs w:val="24"/>
        </w:rPr>
        <w:t xml:space="preserve">a José Esquivel Bogantes Coord. </w:t>
      </w:r>
      <w:r w:rsidRPr="00385D9E">
        <w:rPr>
          <w:rFonts w:ascii="Arial" w:hAnsi="Arial" w:cs="Arial"/>
          <w:sz w:val="24"/>
          <w:szCs w:val="24"/>
        </w:rPr>
        <w:t xml:space="preserve">Comisión de Accesibilidad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385D9E">
        <w:rPr>
          <w:rFonts w:ascii="Arial" w:hAnsi="Arial" w:cs="Arial"/>
          <w:sz w:val="24"/>
          <w:szCs w:val="24"/>
        </w:rPr>
        <w:t xml:space="preserve">Asistente Secretaria Concejo Municipal </w:t>
      </w:r>
    </w:p>
    <w:p w:rsidR="006621C2" w:rsidRPr="006621C2" w:rsidRDefault="00662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_______________________________UL_______________________________</w:t>
      </w:r>
    </w:p>
    <w:sectPr w:rsidR="006621C2" w:rsidRPr="006621C2" w:rsidSect="00851E3D">
      <w:headerReference w:type="default" r:id="rId24"/>
      <w:pgSz w:w="12240" w:h="15840"/>
      <w:pgMar w:top="1417" w:right="1701" w:bottom="1417" w:left="1701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6EA" w:rsidRDefault="00B176EA" w:rsidP="00851E3D">
      <w:pPr>
        <w:spacing w:after="0" w:line="240" w:lineRule="auto"/>
      </w:pPr>
      <w:r>
        <w:separator/>
      </w:r>
    </w:p>
  </w:endnote>
  <w:endnote w:type="continuationSeparator" w:id="0">
    <w:p w:rsidR="00B176EA" w:rsidRDefault="00B176EA" w:rsidP="0085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6EA" w:rsidRDefault="00B176EA" w:rsidP="00851E3D">
      <w:pPr>
        <w:spacing w:after="0" w:line="240" w:lineRule="auto"/>
      </w:pPr>
      <w:r>
        <w:separator/>
      </w:r>
    </w:p>
  </w:footnote>
  <w:footnote w:type="continuationSeparator" w:id="0">
    <w:p w:rsidR="00B176EA" w:rsidRDefault="00B176EA" w:rsidP="0085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632337"/>
      <w:docPartObj>
        <w:docPartGallery w:val="Page Numbers (Top of Page)"/>
        <w:docPartUnique/>
      </w:docPartObj>
    </w:sdtPr>
    <w:sdtEndPr/>
    <w:sdtContent>
      <w:p w:rsidR="00851E3D" w:rsidRDefault="00851E3D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F66" w:rsidRPr="00973F66">
          <w:rPr>
            <w:noProof/>
            <w:lang w:val="es-ES"/>
          </w:rPr>
          <w:t>1</w:t>
        </w:r>
        <w:r>
          <w:fldChar w:fldCharType="end"/>
        </w:r>
      </w:p>
    </w:sdtContent>
  </w:sdt>
  <w:p w:rsidR="00851E3D" w:rsidRDefault="00851E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542E6"/>
    <w:multiLevelType w:val="hybridMultilevel"/>
    <w:tmpl w:val="4CA4C1F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350A7"/>
    <w:multiLevelType w:val="hybridMultilevel"/>
    <w:tmpl w:val="19EA926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D6A0D"/>
    <w:multiLevelType w:val="hybridMultilevel"/>
    <w:tmpl w:val="19EA926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33308"/>
    <w:multiLevelType w:val="hybridMultilevel"/>
    <w:tmpl w:val="19EA926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3D"/>
    <w:rsid w:val="00021F0D"/>
    <w:rsid w:val="001D2498"/>
    <w:rsid w:val="00217072"/>
    <w:rsid w:val="00326CF9"/>
    <w:rsid w:val="00376B47"/>
    <w:rsid w:val="004007DF"/>
    <w:rsid w:val="0046682A"/>
    <w:rsid w:val="005575AE"/>
    <w:rsid w:val="00563245"/>
    <w:rsid w:val="005E5534"/>
    <w:rsid w:val="00611CBA"/>
    <w:rsid w:val="00650F15"/>
    <w:rsid w:val="006621C2"/>
    <w:rsid w:val="0068499D"/>
    <w:rsid w:val="006C5C09"/>
    <w:rsid w:val="00843541"/>
    <w:rsid w:val="00851E3D"/>
    <w:rsid w:val="00973F66"/>
    <w:rsid w:val="00A919F7"/>
    <w:rsid w:val="00AB2A36"/>
    <w:rsid w:val="00B176EA"/>
    <w:rsid w:val="00C21C27"/>
    <w:rsid w:val="00C32F55"/>
    <w:rsid w:val="00D95969"/>
    <w:rsid w:val="00E46E2E"/>
    <w:rsid w:val="00E762AD"/>
    <w:rsid w:val="00E82BE2"/>
    <w:rsid w:val="00F2435B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96F07-EB62-4B8E-893F-B55300FA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E3D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851E3D"/>
  </w:style>
  <w:style w:type="paragraph" w:styleId="Encabezado">
    <w:name w:val="header"/>
    <w:basedOn w:val="Normal"/>
    <w:link w:val="EncabezadoCar"/>
    <w:uiPriority w:val="99"/>
    <w:unhideWhenUsed/>
    <w:rsid w:val="00851E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E3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51E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E3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76B47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inespaciado">
    <w:name w:val="No Spacing"/>
    <w:uiPriority w:val="1"/>
    <w:qFormat/>
    <w:rsid w:val="00650F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DEFEE-F196-4D77-8C2F-3ACCE25F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19</Pages>
  <Words>1064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Soporte.local</dc:creator>
  <cp:keywords/>
  <dc:description/>
  <cp:lastModifiedBy>Soporte.local</cp:lastModifiedBy>
  <cp:revision>14</cp:revision>
  <dcterms:created xsi:type="dcterms:W3CDTF">2020-02-03T20:34:00Z</dcterms:created>
  <dcterms:modified xsi:type="dcterms:W3CDTF">2020-02-04T16:40:00Z</dcterms:modified>
</cp:coreProperties>
</file>